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CE" w:rsidRDefault="00DD5ECE" w:rsidP="00DD5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skerR" w:hAnsi="Times New Roman" w:cs="Times New Roman"/>
          <w:sz w:val="24"/>
          <w:szCs w:val="24"/>
        </w:rPr>
      </w:pPr>
      <w:r>
        <w:rPr>
          <w:rFonts w:ascii="Times New Roman" w:eastAsia="BaskerR" w:hAnsi="Times New Roman" w:cs="Times New Roman"/>
          <w:sz w:val="24"/>
          <w:szCs w:val="24"/>
        </w:rPr>
        <w:t>Papa Francesco ai giovani universitari: “Per favore, non guardare la vita dal balcone”.</w:t>
      </w:r>
    </w:p>
    <w:p w:rsidR="00DD5ECE" w:rsidRPr="00DD5ECE" w:rsidRDefault="00DD5ECE" w:rsidP="00DD5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skerR" w:hAnsi="Times New Roman" w:cs="Times New Roman"/>
          <w:sz w:val="12"/>
          <w:szCs w:val="12"/>
        </w:rPr>
      </w:pPr>
    </w:p>
    <w:p w:rsidR="003B6B5F" w:rsidRDefault="003B6B5F" w:rsidP="00DD5ECE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eastAsia="BaskerR" w:hAnsi="Times New Roman" w:cs="Times New Roman"/>
          <w:sz w:val="20"/>
          <w:szCs w:val="20"/>
        </w:rPr>
      </w:pPr>
      <w:r w:rsidRPr="00DD5ECE">
        <w:rPr>
          <w:rFonts w:ascii="Times New Roman" w:eastAsia="BaskerR" w:hAnsi="Times New Roman" w:cs="Times New Roman"/>
          <w:sz w:val="20"/>
          <w:szCs w:val="20"/>
        </w:rPr>
        <w:t>Il Papa celebra i vespri della prima domenica di Avvento con gli universitari romani ai quali chiede di essere protagonisti della propria vita</w:t>
      </w:r>
    </w:p>
    <w:p w:rsidR="00C94296" w:rsidRPr="00DD5ECE" w:rsidRDefault="00C94296" w:rsidP="00DD5ECE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eastAsia="BaskerR" w:hAnsi="Times New Roman" w:cs="Times New Roman"/>
          <w:sz w:val="20"/>
          <w:szCs w:val="20"/>
        </w:rPr>
      </w:pPr>
    </w:p>
    <w:p w:rsidR="003B6B5F" w:rsidRDefault="003B6B5F" w:rsidP="00DD5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skerR" w:hAnsi="Times New Roman" w:cs="Times New Roman"/>
          <w:sz w:val="36"/>
          <w:szCs w:val="36"/>
        </w:rPr>
      </w:pPr>
      <w:r w:rsidRPr="003B6B5F">
        <w:rPr>
          <w:rFonts w:ascii="Times New Roman" w:eastAsia="BaskerR" w:hAnsi="Times New Roman" w:cs="Times New Roman"/>
          <w:sz w:val="36"/>
          <w:szCs w:val="36"/>
        </w:rPr>
        <w:t>Vivere, mai vivacchiare</w:t>
      </w:r>
    </w:p>
    <w:p w:rsidR="00DD5ECE" w:rsidRPr="003B6B5F" w:rsidRDefault="00DD5ECE" w:rsidP="00DD5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skerR" w:hAnsi="Times New Roman" w:cs="Times New Roman"/>
          <w:sz w:val="36"/>
          <w:szCs w:val="36"/>
        </w:rPr>
      </w:pPr>
    </w:p>
    <w:p w:rsidR="003B6B5F" w:rsidRPr="00C94296" w:rsidRDefault="003B6B5F" w:rsidP="003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6"/>
          <w:szCs w:val="26"/>
        </w:rPr>
      </w:pPr>
      <w:r w:rsidRPr="00C94296">
        <w:rPr>
          <w:rFonts w:ascii="Times New Roman" w:eastAsia="BaskerR" w:hAnsi="Times New Roman" w:cs="Times New Roman"/>
          <w:sz w:val="26"/>
          <w:szCs w:val="26"/>
        </w:rPr>
        <w:t>Per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favore, non guardare la vita dal balcone!</w:t>
      </w:r>
    </w:p>
    <w:p w:rsidR="003B6B5F" w:rsidRPr="00C94296" w:rsidRDefault="003B6B5F" w:rsidP="003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6"/>
          <w:szCs w:val="26"/>
        </w:rPr>
      </w:pPr>
      <w:r w:rsidRPr="00C94296">
        <w:rPr>
          <w:rFonts w:ascii="Times New Roman" w:eastAsia="BaskerR" w:hAnsi="Times New Roman" w:cs="Times New Roman"/>
          <w:sz w:val="26"/>
          <w:szCs w:val="26"/>
        </w:rPr>
        <w:t>Mischiatevi li, dove ci sono le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sfide, che vi chiedono aiuto per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portare avanti la vita, lo sviluppo,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la lotta per la dignit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>à</w:t>
      </w:r>
      <w:r w:rsidRPr="00C94296">
        <w:rPr>
          <w:rFonts w:ascii="Times New Roman" w:eastAsia="BaskerR" w:hAnsi="Times New Roman" w:cs="Times New Roman"/>
          <w:sz w:val="26"/>
          <w:szCs w:val="26"/>
        </w:rPr>
        <w:t xml:space="preserve"> delle persone,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la lotta contro la povert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>à</w:t>
      </w:r>
      <w:r w:rsidRPr="00C94296">
        <w:rPr>
          <w:rFonts w:ascii="Times New Roman" w:eastAsia="BaskerR" w:hAnsi="Times New Roman" w:cs="Times New Roman"/>
          <w:sz w:val="26"/>
          <w:szCs w:val="26"/>
        </w:rPr>
        <w:t>, la lotta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per i valori, e tante lotte che troviamo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ogni giorno.</w:t>
      </w:r>
    </w:p>
    <w:p w:rsidR="003B6B5F" w:rsidRPr="00C94296" w:rsidRDefault="003B6B5F" w:rsidP="003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6"/>
          <w:szCs w:val="26"/>
        </w:rPr>
      </w:pPr>
      <w:r w:rsidRPr="00C94296">
        <w:rPr>
          <w:rFonts w:ascii="Times New Roman" w:eastAsia="BaskerR" w:hAnsi="Times New Roman" w:cs="Times New Roman"/>
          <w:sz w:val="26"/>
          <w:szCs w:val="26"/>
        </w:rPr>
        <w:t>Sono diverse le sfide che voi giovani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universitari siete chiamati ad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affrontare con fortezza interiore e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audacia evangelica. Fortezza e audacia.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</w:p>
    <w:p w:rsidR="003B6B5F" w:rsidRPr="00C94296" w:rsidRDefault="003B6B5F" w:rsidP="003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6"/>
          <w:szCs w:val="26"/>
        </w:rPr>
      </w:pPr>
      <w:r w:rsidRPr="00C94296">
        <w:rPr>
          <w:rFonts w:ascii="Times New Roman" w:eastAsia="BaskerR" w:hAnsi="Times New Roman" w:cs="Times New Roman"/>
          <w:sz w:val="26"/>
          <w:szCs w:val="26"/>
        </w:rPr>
        <w:t>Il contesto socio-culturale nel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quale siete inseriti a volte e appesantito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dalla mediocrit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>à</w:t>
      </w:r>
      <w:r w:rsidRPr="00C94296">
        <w:rPr>
          <w:rFonts w:ascii="Times New Roman" w:eastAsia="BaskerR" w:hAnsi="Times New Roman" w:cs="Times New Roman"/>
          <w:sz w:val="26"/>
          <w:szCs w:val="26"/>
        </w:rPr>
        <w:t xml:space="preserve"> e dalla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noia. Non bisogna rassegnarsi alla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monotonia del vivere quotidiano,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ma coltivare progetti di ampio respiro,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andare oltre l’ordinario: non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lasciatevi rubare l’entusiasmo giovanile!</w:t>
      </w:r>
    </w:p>
    <w:p w:rsidR="003B6B5F" w:rsidRPr="00C94296" w:rsidRDefault="003B6B5F" w:rsidP="003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6"/>
          <w:szCs w:val="26"/>
        </w:rPr>
      </w:pPr>
      <w:r w:rsidRPr="00C94296">
        <w:rPr>
          <w:rFonts w:ascii="Times New Roman" w:eastAsia="BaskerR" w:hAnsi="Times New Roman" w:cs="Times New Roman"/>
          <w:sz w:val="26"/>
          <w:szCs w:val="26"/>
        </w:rPr>
        <w:t>Sarebbe uno sbaglio anche lasciarsi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imprigionare dal pensiero debole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e dal pensiero uniforme, quello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che omologa, come pure da una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globalizzazione intesa come omologazione.</w:t>
      </w:r>
    </w:p>
    <w:p w:rsidR="003B6B5F" w:rsidRPr="00C94296" w:rsidRDefault="003B6B5F" w:rsidP="003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6"/>
          <w:szCs w:val="26"/>
        </w:rPr>
      </w:pPr>
      <w:r w:rsidRPr="00C94296">
        <w:rPr>
          <w:rFonts w:ascii="Times New Roman" w:eastAsia="BaskerR" w:hAnsi="Times New Roman" w:cs="Times New Roman"/>
          <w:sz w:val="26"/>
          <w:szCs w:val="26"/>
        </w:rPr>
        <w:t>Per superare questi rischi,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il modello da seguire non e la sfera.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Il modello da seguire nella vera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globalizzazione — che e buona —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non e la sfera, in cui e livellata ogni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sporgenza e scompare ogni differenza;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il modello e invece il poliedro,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che include una molteplicit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>à</w:t>
      </w:r>
      <w:r w:rsidRPr="00C94296">
        <w:rPr>
          <w:rFonts w:ascii="Times New Roman" w:eastAsia="BaskerR" w:hAnsi="Times New Roman" w:cs="Times New Roman"/>
          <w:sz w:val="26"/>
          <w:szCs w:val="26"/>
        </w:rPr>
        <w:t xml:space="preserve"> di elementi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e rispetta l’unita nella variet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>à</w:t>
      </w:r>
      <w:r w:rsidRPr="00C94296">
        <w:rPr>
          <w:rFonts w:ascii="Times New Roman" w:eastAsia="BaskerR" w:hAnsi="Times New Roman" w:cs="Times New Roman"/>
          <w:sz w:val="26"/>
          <w:szCs w:val="26"/>
        </w:rPr>
        <w:t>.</w:t>
      </w:r>
    </w:p>
    <w:p w:rsidR="003B6B5F" w:rsidRPr="00C94296" w:rsidRDefault="003B6B5F" w:rsidP="003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6"/>
          <w:szCs w:val="26"/>
        </w:rPr>
      </w:pPr>
      <w:r w:rsidRPr="00C94296">
        <w:rPr>
          <w:rFonts w:ascii="Times New Roman" w:eastAsia="BaskerR" w:hAnsi="Times New Roman" w:cs="Times New Roman"/>
          <w:sz w:val="26"/>
          <w:szCs w:val="26"/>
        </w:rPr>
        <w:t>Nel difendere l’unita, difendiamo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anche la diversit</w:t>
      </w:r>
      <w:r w:rsidR="00C94296" w:rsidRPr="00C94296">
        <w:rPr>
          <w:rFonts w:ascii="Times New Roman" w:eastAsia="BaskerR" w:hAnsi="Times New Roman" w:cs="Times New Roman"/>
          <w:sz w:val="26"/>
          <w:szCs w:val="26"/>
        </w:rPr>
        <w:t>à</w:t>
      </w:r>
      <w:r w:rsidRPr="00C94296">
        <w:rPr>
          <w:rFonts w:ascii="Times New Roman" w:eastAsia="BaskerR" w:hAnsi="Times New Roman" w:cs="Times New Roman"/>
          <w:sz w:val="26"/>
          <w:szCs w:val="26"/>
        </w:rPr>
        <w:t>. Al contrario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quella unita non sarebbe umana.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Il pensiero, infatti, e fecondo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quando e espressione di una mente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aperta, che discerne, sempre illuminata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dalla verit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>à</w:t>
      </w:r>
      <w:r w:rsidRPr="00C94296">
        <w:rPr>
          <w:rFonts w:ascii="Times New Roman" w:eastAsia="BaskerR" w:hAnsi="Times New Roman" w:cs="Times New Roman"/>
          <w:sz w:val="26"/>
          <w:szCs w:val="26"/>
        </w:rPr>
        <w:t>, dal bene e dalla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bellezza. Se non vi lascerete condizionare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dall’opinione dominante,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ma rimarrete fedeli ai principi etici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e religiosi cristiani, troverete il coraggio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di andare anche contro-corrente.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Nel mondo globalizzato, potrete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 xml:space="preserve">contribuire a salvare 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peculiarità </w:t>
      </w:r>
      <w:r w:rsidRPr="00C94296">
        <w:rPr>
          <w:rFonts w:ascii="Times New Roman" w:eastAsia="BaskerR" w:hAnsi="Times New Roman" w:cs="Times New Roman"/>
          <w:sz w:val="26"/>
          <w:szCs w:val="26"/>
        </w:rPr>
        <w:t>e caratteristiche proprie, cercando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pero di non abbassare il livello etico.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Infatti, la pluralit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>à</w:t>
      </w:r>
      <w:r w:rsidRPr="00C94296">
        <w:rPr>
          <w:rFonts w:ascii="Times New Roman" w:eastAsia="BaskerR" w:hAnsi="Times New Roman" w:cs="Times New Roman"/>
          <w:sz w:val="26"/>
          <w:szCs w:val="26"/>
        </w:rPr>
        <w:t xml:space="preserve"> di pensiero e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di individualit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>à</w:t>
      </w:r>
      <w:r w:rsidRPr="00C94296">
        <w:rPr>
          <w:rFonts w:ascii="Times New Roman" w:eastAsia="BaskerR" w:hAnsi="Times New Roman" w:cs="Times New Roman"/>
          <w:sz w:val="26"/>
          <w:szCs w:val="26"/>
        </w:rPr>
        <w:t xml:space="preserve"> riflette la multiforme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sapienza di Dio quando si accosta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 xml:space="preserve">alla </w:t>
      </w:r>
      <w:proofErr w:type="spellStart"/>
      <w:r w:rsidRPr="00C94296">
        <w:rPr>
          <w:rFonts w:ascii="Times New Roman" w:eastAsia="BaskerR" w:hAnsi="Times New Roman" w:cs="Times New Roman"/>
          <w:sz w:val="26"/>
          <w:szCs w:val="26"/>
        </w:rPr>
        <w:t>verita</w:t>
      </w:r>
      <w:proofErr w:type="spellEnd"/>
      <w:r w:rsidRPr="00C94296">
        <w:rPr>
          <w:rFonts w:ascii="Times New Roman" w:eastAsia="BaskerR" w:hAnsi="Times New Roman" w:cs="Times New Roman"/>
          <w:sz w:val="26"/>
          <w:szCs w:val="26"/>
        </w:rPr>
        <w:t xml:space="preserve"> con onesta e rigore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intellettuale, quando si accosta alla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bont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>à</w:t>
      </w:r>
      <w:r w:rsidRPr="00C94296">
        <w:rPr>
          <w:rFonts w:ascii="Times New Roman" w:eastAsia="BaskerR" w:hAnsi="Times New Roman" w:cs="Times New Roman"/>
          <w:sz w:val="26"/>
          <w:szCs w:val="26"/>
        </w:rPr>
        <w:t>, quando si accosta alla bellezza,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 xml:space="preserve">cosi che ognuno </w:t>
      </w:r>
      <w:proofErr w:type="spellStart"/>
      <w:r w:rsidRPr="00C94296">
        <w:rPr>
          <w:rFonts w:ascii="Times New Roman" w:eastAsia="BaskerR" w:hAnsi="Times New Roman" w:cs="Times New Roman"/>
          <w:sz w:val="26"/>
          <w:szCs w:val="26"/>
        </w:rPr>
        <w:t>puo</w:t>
      </w:r>
      <w:proofErr w:type="spellEnd"/>
      <w:r w:rsidRPr="00C94296">
        <w:rPr>
          <w:rFonts w:ascii="Times New Roman" w:eastAsia="BaskerR" w:hAnsi="Times New Roman" w:cs="Times New Roman"/>
          <w:sz w:val="26"/>
          <w:szCs w:val="26"/>
        </w:rPr>
        <w:t xml:space="preserve"> essere un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dono a beneficio di tutti.</w:t>
      </w:r>
    </w:p>
    <w:p w:rsidR="00000000" w:rsidRDefault="003B6B5F" w:rsidP="00D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4"/>
          <w:szCs w:val="24"/>
        </w:rPr>
      </w:pPr>
      <w:r w:rsidRPr="00C94296">
        <w:rPr>
          <w:rFonts w:ascii="Times New Roman" w:eastAsia="BaskerR" w:hAnsi="Times New Roman" w:cs="Times New Roman"/>
          <w:sz w:val="26"/>
          <w:szCs w:val="26"/>
        </w:rPr>
        <w:t>L’impegno di camminare nella fede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e di comportarvi in maniera coerente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col Vangelo vi accompagni in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questo tempo di Avvento, per vivere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in modo autentico la commemorazione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del Natale del Signore. Vi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pu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>ò</w:t>
      </w:r>
      <w:r w:rsidRPr="00C94296">
        <w:rPr>
          <w:rFonts w:ascii="Times New Roman" w:eastAsia="BaskerR" w:hAnsi="Times New Roman" w:cs="Times New Roman"/>
          <w:sz w:val="26"/>
          <w:szCs w:val="26"/>
        </w:rPr>
        <w:t xml:space="preserve"> essere di aiuto la bella testimonianza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 xml:space="preserve">del beato Pier Giorgio </w:t>
      </w:r>
      <w:proofErr w:type="spellStart"/>
      <w:r w:rsidRPr="00C94296">
        <w:rPr>
          <w:rFonts w:ascii="Times New Roman" w:eastAsia="BaskerR" w:hAnsi="Times New Roman" w:cs="Times New Roman"/>
          <w:sz w:val="26"/>
          <w:szCs w:val="26"/>
        </w:rPr>
        <w:t>Frassati</w:t>
      </w:r>
      <w:proofErr w:type="spellEnd"/>
      <w:r w:rsidRPr="00C94296">
        <w:rPr>
          <w:rFonts w:ascii="Times New Roman" w:eastAsia="BaskerR" w:hAnsi="Times New Roman" w:cs="Times New Roman"/>
          <w:sz w:val="26"/>
          <w:szCs w:val="26"/>
        </w:rPr>
        <w:t>,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il quale diceva — universitario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come voi — diceva: ≪Vivere senza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una fede, senza un patrimonio da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difendere, senza sostenere in una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lotta continua la verit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>à</w:t>
      </w:r>
      <w:r w:rsidRPr="00C94296">
        <w:rPr>
          <w:rFonts w:ascii="Times New Roman" w:eastAsia="BaskerR" w:hAnsi="Times New Roman" w:cs="Times New Roman"/>
          <w:sz w:val="26"/>
          <w:szCs w:val="26"/>
        </w:rPr>
        <w:t>, non e vivere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ma vivacchiare. Noi non dobbiamo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mai vivacchiare, ma vivere≫ (Lettera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 xml:space="preserve">a I. </w:t>
      </w:r>
      <w:proofErr w:type="spellStart"/>
      <w:r w:rsidRPr="00C94296">
        <w:rPr>
          <w:rFonts w:ascii="Times New Roman" w:eastAsia="BaskerR" w:hAnsi="Times New Roman" w:cs="Times New Roman"/>
          <w:sz w:val="26"/>
          <w:szCs w:val="26"/>
        </w:rPr>
        <w:t>Bonini</w:t>
      </w:r>
      <w:proofErr w:type="spellEnd"/>
      <w:r w:rsidRPr="00C94296">
        <w:rPr>
          <w:rFonts w:ascii="Times New Roman" w:eastAsia="BaskerR" w:hAnsi="Times New Roman" w:cs="Times New Roman"/>
          <w:sz w:val="26"/>
          <w:szCs w:val="26"/>
        </w:rPr>
        <w:t>, 27.II.1925).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Grazie, e buon cammino verso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  <w:r w:rsidRPr="00C94296">
        <w:rPr>
          <w:rFonts w:ascii="Times New Roman" w:eastAsia="BaskerR" w:hAnsi="Times New Roman" w:cs="Times New Roman"/>
          <w:sz w:val="26"/>
          <w:szCs w:val="26"/>
        </w:rPr>
        <w:t>Betlemme!</w:t>
      </w:r>
      <w:r w:rsidR="00DD5ECE" w:rsidRPr="00C94296">
        <w:rPr>
          <w:rFonts w:ascii="Times New Roman" w:eastAsia="BaskerR" w:hAnsi="Times New Roman" w:cs="Times New Roman"/>
          <w:sz w:val="26"/>
          <w:szCs w:val="26"/>
        </w:rPr>
        <w:t xml:space="preserve"> </w:t>
      </w:r>
    </w:p>
    <w:p w:rsidR="00C94296" w:rsidRDefault="00C94296" w:rsidP="00DD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4"/>
          <w:szCs w:val="24"/>
        </w:rPr>
      </w:pPr>
    </w:p>
    <w:p w:rsidR="00C94296" w:rsidRPr="00C94296" w:rsidRDefault="00C94296" w:rsidP="00C94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4296">
        <w:rPr>
          <w:rFonts w:ascii="Times New Roman" w:eastAsia="BaskerR" w:hAnsi="Times New Roman" w:cs="Times New Roman"/>
          <w:i/>
          <w:sz w:val="20"/>
          <w:szCs w:val="20"/>
        </w:rPr>
        <w:t>Da l’Osservatore Romano del 2-3 dicembre 2013</w:t>
      </w:r>
    </w:p>
    <w:sectPr w:rsidR="00C94296" w:rsidRPr="00C94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3B6B5F"/>
    <w:rsid w:val="003B6B5F"/>
    <w:rsid w:val="00C94296"/>
    <w:rsid w:val="00DD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4</cp:revision>
  <dcterms:created xsi:type="dcterms:W3CDTF">2013-12-04T09:51:00Z</dcterms:created>
  <dcterms:modified xsi:type="dcterms:W3CDTF">2013-12-04T10:17:00Z</dcterms:modified>
</cp:coreProperties>
</file>